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21.06.2010 N 468</w:t>
              <w:br/>
              <w:t xml:space="preserve">(ред. от 06.05.2024)</w:t>
              <w:br/>
              <w:t xml:space="preserve">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  <w:br/>
              <w:t xml:space="preserve">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июня 2010 г. N 468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ПРОВЕДЕНИЯ</w:t>
      </w:r>
    </w:p>
    <w:p>
      <w:pPr>
        <w:pStyle w:val="2"/>
        <w:jc w:val="center"/>
      </w:pPr>
      <w:r>
        <w:rPr>
          <w:sz w:val="20"/>
        </w:rPr>
        <w:t xml:space="preserve">СТРОИТЕЛЬНОГО КОНТРОЛЯ ПРИ ОСУЩЕСТВЛЕНИИ СТРОИТЕЛЬСТВА,</w:t>
      </w:r>
    </w:p>
    <w:p>
      <w:pPr>
        <w:pStyle w:val="2"/>
        <w:jc w:val="center"/>
      </w:pPr>
      <w:r>
        <w:rPr>
          <w:sz w:val="20"/>
        </w:rPr>
        <w:t xml:space="preserve">РЕКОНСТРУКЦИИ И КАПИТАЛЬНОГО РЕМОНТА ОБЪЕКТОВ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8 статьи 53</w:t>
        </w:r>
      </w:hyperlink>
      <w:r>
        <w:rPr>
          <w:sz w:val="20"/>
        </w:rPr>
        <w:t xml:space="preserve"> Градостроительного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history="0" w:anchor="P16" w:tooltip="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history="0" w:anchor="P77" w:tooltip="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приложении к настоящему...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июня 2010 г. N 468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СТРОИТЕЛЬНОГО КОНТРОЛЯ ПРИ ОСУЩЕСТВЛЕНИИ</w:t>
      </w:r>
    </w:p>
    <w:p>
      <w:pPr>
        <w:pStyle w:val="2"/>
        <w:jc w:val="center"/>
      </w:pPr>
      <w:r>
        <w:rPr>
          <w:sz w:val="20"/>
        </w:rPr>
        <w:t xml:space="preserve">СТРОИТЕЛЬСТВА, РЕКОНСТРУКЦИИ И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ОБЪЕКТОВ КАПИТАЛЬНОГО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Строительный контроль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лицом, осуществляющим строительство (далее - подрядчик);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Строительный контроль, осуществляемый подрядчиком, включает проведение следующих контрольных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проверка соблюдения установленных норм и правил складирования и хранения применяемой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приемка законченных видов (этапов)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Строительный контроль, осуществляемый заказчиком, включает проведение следующих контрольных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0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пункте 5 статьи 14</w:t>
        </w:r>
      </w:hyperlink>
      <w:r>
        <w:rPr>
          <w:sz w:val="20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06.05.2024 N 589)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2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пункте 5 статьи 14</w:t>
        </w:r>
      </w:hyperlink>
      <w:r>
        <w:rPr>
          <w:sz w:val="20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06.05.2024 N 589)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4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пункте 5 статьи 14</w:t>
        </w:r>
      </w:hyperlink>
      <w:r>
        <w:rPr>
          <w:sz w:val="20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5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пункте 5 статьи 14</w:t>
        </w:r>
      </w:hyperlink>
      <w:r>
        <w:rPr>
          <w:sz w:val="20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6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06.05.2024 N 589)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 завершения процедуры освидетельствования скрытых работ выполнение последующих работ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контрольные мероприятия выполняются в соответствии с </w:t>
      </w:r>
      <w:hyperlink w:history="0" w:anchor="P46" w:tooltip="5. Строительный контроль, осуществляемый подрядчиком, включает проведение следующих контрольных мероприятий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53" w:tooltip="6. Строительный контроль, осуществляемый заказчиком, включает проведение следующих контрольных мероприятий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72" w:tooltip="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">
        <w:r>
          <w:rPr>
            <w:sz w:val="20"/>
            <w:color w:val="0000ff"/>
          </w:rPr>
          <w:t xml:space="preserve">абзацем вторым пункта 11</w:t>
        </w:r>
      </w:hyperlink>
      <w:r>
        <w:rPr>
          <w:sz w:val="20"/>
        </w:rP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history="0" w:anchor="P91" w:tooltip="НОРМАТИВЫ РАСХОДОВ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history="0" w:anchor="P91" w:tooltip="НОРМАТИВЫ РАСХОДОВ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Положению, и указывается в </w:t>
      </w:r>
      <w:hyperlink w:history="0" r:id="rId17" w:tooltip="Постановление Правительства РФ от 16.02.2008 N 87 (ред. от 06.05.2024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главе 10</w:t>
        </w:r>
      </w:hyperlink>
      <w:r>
        <w:rPr>
          <w:sz w:val="20"/>
        </w:rPr>
        <w:t xml:space="preserve"> сводного сметного расчета стоимости строительства отдельной строкой "Строительный контроль".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проведении</w:t>
      </w:r>
    </w:p>
    <w:p>
      <w:pPr>
        <w:pStyle w:val="0"/>
        <w:jc w:val="right"/>
      </w:pPr>
      <w:r>
        <w:rPr>
          <w:sz w:val="20"/>
        </w:rPr>
        <w:t xml:space="preserve">строительного контроля при</w:t>
      </w:r>
    </w:p>
    <w:p>
      <w:pPr>
        <w:pStyle w:val="0"/>
        <w:jc w:val="right"/>
      </w:pPr>
      <w:r>
        <w:rPr>
          <w:sz w:val="20"/>
        </w:rPr>
        <w:t xml:space="preserve">осуществлении строительства,</w:t>
      </w:r>
    </w:p>
    <w:p>
      <w:pPr>
        <w:pStyle w:val="0"/>
        <w:jc w:val="right"/>
      </w:pPr>
      <w:r>
        <w:rPr>
          <w:sz w:val="20"/>
        </w:rPr>
        <w:t xml:space="preserve">реконструкции и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2"/>
        <w:jc w:val="center"/>
      </w:pPr>
      <w:r>
        <w:rPr>
          <w:sz w:val="20"/>
        </w:rPr>
        <w:t xml:space="preserve">НОРМАТИВЫ РАСХОДОВ</w:t>
      </w:r>
    </w:p>
    <w:p>
      <w:pPr>
        <w:pStyle w:val="2"/>
        <w:jc w:val="center"/>
      </w:pPr>
      <w:r>
        <w:rPr>
          <w:sz w:val="20"/>
        </w:rPr>
        <w:t xml:space="preserve">ЗАКАЗЧИКА НА ОСУЩЕСТВЛЕНИЕ СТРОИТЕЛЬНОГО КОНТРОЛЯ</w:t>
      </w:r>
    </w:p>
    <w:p>
      <w:pPr>
        <w:pStyle w:val="2"/>
        <w:jc w:val="center"/>
      </w:pPr>
      <w:r>
        <w:rPr>
          <w:sz w:val="20"/>
        </w:rPr>
        <w:t xml:space="preserve">ПРИ СТРОИТЕЛЬСТВЕ ОБЪЕКТОВ КАПИТАЛЬНОГО СТРОИТЕЛЬСТВА,</w:t>
      </w:r>
    </w:p>
    <w:p>
      <w:pPr>
        <w:pStyle w:val="2"/>
        <w:jc w:val="center"/>
      </w:pPr>
      <w:r>
        <w:rPr>
          <w:sz w:val="20"/>
        </w:rPr>
        <w:t xml:space="preserve">ФИНАНСИРУЕМЫХ ПОЛНОСТЬЮ ИЛИ ЧАСТИЧНО С ПРИВЛЕЧЕНИЕМ</w:t>
      </w:r>
    </w:p>
    <w:p>
      <w:pPr>
        <w:pStyle w:val="2"/>
        <w:jc w:val="center"/>
      </w:pPr>
      <w:r>
        <w:rPr>
          <w:sz w:val="20"/>
        </w:rPr>
        <w:t xml:space="preserve">СРЕДСТВ ФЕДЕРАЛЬНОГО БЮДЖЕТА, И НОРМАТИВЫ ЧИСЛЕННОСТИ</w:t>
      </w:r>
    </w:p>
    <w:p>
      <w:pPr>
        <w:pStyle w:val="2"/>
        <w:jc w:val="center"/>
      </w:pPr>
      <w:r>
        <w:rPr>
          <w:sz w:val="20"/>
        </w:rPr>
        <w:t xml:space="preserve">РАБОТНИКОВ ЗАКАЗЧИКА, НА КОТОРЫХ В УСТАНОВЛЕННОМ</w:t>
      </w:r>
    </w:p>
    <w:p>
      <w:pPr>
        <w:pStyle w:val="2"/>
        <w:jc w:val="center"/>
      </w:pPr>
      <w:r>
        <w:rPr>
          <w:sz w:val="20"/>
        </w:rPr>
        <w:t xml:space="preserve">ПОРЯДКЕ ВОЗЛАГАЕТСЯ ОБЯЗАННОСТЬ ПО ОСУЩЕСТВЛЕНИЮ</w:t>
      </w:r>
    </w:p>
    <w:p>
      <w:pPr>
        <w:pStyle w:val="2"/>
        <w:jc w:val="center"/>
      </w:pPr>
      <w:r>
        <w:rPr>
          <w:sz w:val="20"/>
        </w:rPr>
        <w:t xml:space="preserve">СТРОИТЕЛЬНОГО КОНТРОЛЯ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20"/>
        <w:gridCol w:w="3795"/>
        <w:gridCol w:w="4125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6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численности работников заказчика, осуществляющих строительный контроль (человек)</w:t>
            </w:r>
          </w:p>
        </w:tc>
      </w:tr>
      <w:tr>
        <w:tc>
          <w:tcPr>
            <w:tcW w:w="46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до 30</w:t>
            </w:r>
          </w:p>
        </w:tc>
        <w:tc>
          <w:tcPr>
            <w:tcW w:w="37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2,14</w:t>
            </w:r>
          </w:p>
        </w:tc>
        <w:tc>
          <w:tcPr>
            <w:tcW w:w="41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При стоимости строительства более 900 млн. рублей в базисном уровне цен по состоянию на 1 января 2000 г.: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нормативы расходов на осуществление строительного контроля заказчика определяются по формуле </w:t>
      </w:r>
      <w:r>
        <w:rPr>
          <w:position w:val="-8"/>
        </w:rPr>
        <w:drawing>
          <wp:inline distT="0" distB="0" distL="0" distR="0">
            <wp:extent cx="13970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 - норматив расходов на осуществление строительного контроля заказчика в процентах;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стоимость строительства в базисном уровне цен по состоянию на 1 января 2000 г.;</w:t>
      </w:r>
    </w:p>
    <w:p>
      <w:pPr>
        <w:pStyle w:val="0"/>
        <w:spacing w:before="200" w:line-rule="auto"/>
        <w:ind w:firstLine="540"/>
        <w:jc w:val="both"/>
      </w:pPr>
      <w:r>
        <w:rPr>
          <w:position w:val="-5"/>
        </w:rPr>
        <w:drawing>
          <wp:inline distT="0" distB="0" distL="0" distR="0">
            <wp:extent cx="389890" cy="1993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- стоимость строительства в базисном уровне цен по состоянию на 1 января 2000 г., возведенная в степень 0,8022;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21.06.2010 N 468</w:t>
            <w:br/>
            <w:t>(ред. от 06.05.2024)</w:t>
            <w:br/>
            <w:t>"О порядке проведения строительного контроля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21.06.2010 N 468</w:t>
            <w:br/>
            <w:t>(ред. от 06.05.2024)</w:t>
            <w:br/>
            <w:t>"О порядке проведения строительного контроля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76071&amp;dst=100023" TargetMode = "External"/>
	<Relationship Id="rId8" Type="http://schemas.openxmlformats.org/officeDocument/2006/relationships/hyperlink" Target="https://login.consultant.ru/link/?req=doc&amp;base=RZR&amp;n=471026&amp;dst=100870" TargetMode = "External"/>
	<Relationship Id="rId9" Type="http://schemas.openxmlformats.org/officeDocument/2006/relationships/hyperlink" Target="https://login.consultant.ru/link/?req=doc&amp;base=RZR&amp;n=476071&amp;dst=100023" TargetMode = "External"/>
	<Relationship Id="rId10" Type="http://schemas.openxmlformats.org/officeDocument/2006/relationships/hyperlink" Target="https://login.consultant.ru/link/?req=doc&amp;base=RZR&amp;n=372899&amp;dst=100175" TargetMode = "External"/>
	<Relationship Id="rId11" Type="http://schemas.openxmlformats.org/officeDocument/2006/relationships/hyperlink" Target="https://login.consultant.ru/link/?req=doc&amp;base=RZR&amp;n=476071&amp;dst=100024" TargetMode = "External"/>
	<Relationship Id="rId12" Type="http://schemas.openxmlformats.org/officeDocument/2006/relationships/hyperlink" Target="https://login.consultant.ru/link/?req=doc&amp;base=RZR&amp;n=372899&amp;dst=100175" TargetMode = "External"/>
	<Relationship Id="rId13" Type="http://schemas.openxmlformats.org/officeDocument/2006/relationships/hyperlink" Target="https://login.consultant.ru/link/?req=doc&amp;base=RZR&amp;n=476071&amp;dst=100025" TargetMode = "External"/>
	<Relationship Id="rId14" Type="http://schemas.openxmlformats.org/officeDocument/2006/relationships/hyperlink" Target="https://login.consultant.ru/link/?req=doc&amp;base=RZR&amp;n=372899&amp;dst=100175" TargetMode = "External"/>
	<Relationship Id="rId15" Type="http://schemas.openxmlformats.org/officeDocument/2006/relationships/hyperlink" Target="https://login.consultant.ru/link/?req=doc&amp;base=RZR&amp;n=372899&amp;dst=100175" TargetMode = "External"/>
	<Relationship Id="rId16" Type="http://schemas.openxmlformats.org/officeDocument/2006/relationships/hyperlink" Target="https://login.consultant.ru/link/?req=doc&amp;base=RZR&amp;n=476071&amp;dst=100026" TargetMode = "External"/>
	<Relationship Id="rId17" Type="http://schemas.openxmlformats.org/officeDocument/2006/relationships/hyperlink" Target="https://login.consultant.ru/link/?req=doc&amp;base=RZR&amp;n=476111&amp;dst=100412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image" Target="media/image2.wmf"/>
	<Relationship Id="rId21" Type="http://schemas.openxmlformats.org/officeDocument/2006/relationships/image" Target="media/image3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21.06.2010 N 468
(ред. от 06.05.2024)
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
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строительства")</dc:title>
  <dcterms:created xsi:type="dcterms:W3CDTF">2024-09-03T06:53:01Z</dcterms:created>
</cp:coreProperties>
</file>