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ЯО от 30.07.2019 N 537-п</w:t>
              <w:br/>
              <w:t xml:space="preserve">(ред. от 30.03.2026)</w:t>
              <w:br/>
              <w:t xml:space="preserve">"Об утверждении предельной стоимости капитального ремонта общего имущества в многоквартирных домах"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17.08.2026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ЯРОСЛАВСКОЙ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30 июля 2019 г. N 537-п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ПРЕДЕЛЬНОЙ СТОИМОСТИ КАПИТАЛЬНОГО РЕМОНТА</w:t>
      </w:r>
    </w:p>
    <w:p>
      <w:pPr>
        <w:pStyle w:val="2"/>
        <w:jc w:val="center"/>
      </w:pPr>
      <w:r>
        <w:rPr>
          <w:sz w:val="20"/>
        </w:rPr>
        <w:t xml:space="preserve">ОБЩЕГО ИМУЩЕСТВА В МНОГОКВАРТИРНЫХ ДОМАХ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ЯО от 30.12.2019 </w:t>
            </w:r>
            <w:hyperlink w:history="0" r:id="rId8" w:tooltip="Постановление Правительства ЯО от 30.12.2019 N 965-п &quot;О внесении изменения в постановление Правительства области от 30.07.2019 N 537-п&quot; {КонсультантПлюс}">
              <w:r>
                <w:rPr>
                  <w:sz w:val="20"/>
                  <w:color w:val="0000ff"/>
                </w:rPr>
                <w:t xml:space="preserve">N 965-п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10.04.2020 </w:t>
            </w:r>
            <w:hyperlink w:history="0" r:id="rId9" w:tooltip="Постановление Правительства ЯО от 10.04.2020 N 314-п &quot;О внесении изменений в постановление Правительства области от 30.07.2019 N 537-п&quot; {КонсультантПлюс}">
              <w:r>
                <w:rPr>
                  <w:sz w:val="20"/>
                  <w:color w:val="0000ff"/>
                </w:rPr>
                <w:t xml:space="preserve">N 314-п</w:t>
              </w:r>
            </w:hyperlink>
            <w:r>
              <w:rPr>
                <w:sz w:val="20"/>
                <w:color w:val="392c69"/>
              </w:rPr>
              <w:t xml:space="preserve">, от 28.12.2020 </w:t>
            </w:r>
            <w:hyperlink w:history="0" r:id="rId10" w:tooltip="Постановление Правительства ЯО от 28.12.2020 N 1030-п &quot;О внесении изменения в постановление Правительства области от 30.07.2019 N 537-п&quot; {КонсультантПлюс}">
              <w:r>
                <w:rPr>
                  <w:sz w:val="20"/>
                  <w:color w:val="0000ff"/>
                </w:rPr>
                <w:t xml:space="preserve">N 1030-п</w:t>
              </w:r>
            </w:hyperlink>
            <w:r>
              <w:rPr>
                <w:sz w:val="20"/>
                <w:color w:val="392c69"/>
              </w:rPr>
              <w:t xml:space="preserve">, от 19.08.2021 </w:t>
            </w:r>
            <w:hyperlink w:history="0" r:id="rId11" w:tooltip="Постановление Правительства ЯО от 19.08.2021 N 557-п &quot;О внесении изменения в постановление Правительства области от 30.07.2019 N 537-п&quot; {КонсультантПлюс}">
              <w:r>
                <w:rPr>
                  <w:sz w:val="20"/>
                  <w:color w:val="0000ff"/>
                </w:rPr>
                <w:t xml:space="preserve">N 557-п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09.02.2022 </w:t>
            </w:r>
            <w:hyperlink w:history="0" r:id="rId12" w:tooltip="Постановление Правительства ЯО от 09.02.2022 N 59-п &quot;О внесении изменения в постановление Правительства области от 30.07.2019 N 537-п&quot; {КонсультантПлюс}">
              <w:r>
                <w:rPr>
                  <w:sz w:val="20"/>
                  <w:color w:val="0000ff"/>
                </w:rPr>
                <w:t xml:space="preserve">N 59-п</w:t>
              </w:r>
            </w:hyperlink>
            <w:r>
              <w:rPr>
                <w:sz w:val="20"/>
                <w:color w:val="392c69"/>
              </w:rPr>
              <w:t xml:space="preserve">, от 15.07.2025 </w:t>
            </w:r>
            <w:hyperlink w:history="0" r:id="rId13" w:tooltip="Постановление Правительства ЯО от 15.07.2025 N 719-п &quot;О внесении изменений в постановление Правительства Ярославской области от 30.07.2019 N 537-п&quot; {КонсультантПлюс}">
              <w:r>
                <w:rPr>
                  <w:sz w:val="20"/>
                  <w:color w:val="0000ff"/>
                </w:rPr>
                <w:t xml:space="preserve">N 719-п</w:t>
              </w:r>
            </w:hyperlink>
            <w:r>
              <w:rPr>
                <w:sz w:val="20"/>
                <w:color w:val="392c69"/>
              </w:rPr>
              <w:t xml:space="preserve">, от 30.03.2026 </w:t>
            </w:r>
            <w:hyperlink w:history="0" r:id="rId14" w:tooltip="Постановление Правительства ЯО от 30.03.2026 N 322-п &quot;О внесении изменения в постановление Правительства Ярославской области от 30.07.2019 N 537-п&quot; {КонсультантПлюс}">
              <w:r>
                <w:rPr>
                  <w:sz w:val="20"/>
                  <w:color w:val="0000ff"/>
                </w:rPr>
                <w:t xml:space="preserve">N 322-п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Во исполнение </w:t>
      </w:r>
      <w:hyperlink w:history="0" r:id="rId15" w:tooltip="Закон ЯО от 28.06.2013 N 32-з (ред. от 25.02.2026) &quot;Об отдельных вопросах организации проведения капитального ремонта общего имущества в многоквартирных домах на территории Ярославской области&quot; (принят Ярославской областной Думой 25.06.2013) (с изм. и доп., вступившими в силу с 01.03.2026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Ярославской области от 28 июня 2013 г. N 32-з "Об отдельных вопросах организации проведения капитального ремонта общего имущества в многоквартирных домах на территории Ярославской области"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ОБЛАСТИ 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предельную </w:t>
      </w:r>
      <w:hyperlink w:history="0" w:anchor="P38" w:tooltip="ПРЕДЕЛЬНАЯ СТОИМОСТЬ">
        <w:r>
          <w:rPr>
            <w:sz w:val="20"/>
            <w:color w:val="0000ff"/>
          </w:rPr>
          <w:t xml:space="preserve">стоимость</w:t>
        </w:r>
      </w:hyperlink>
      <w:r>
        <w:rPr>
          <w:sz w:val="20"/>
        </w:rPr>
        <w:t xml:space="preserve"> услуг и (или) работ по капитальному ремонту общего имущества в многоквартирных домах согласно приложению.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Контроль за исполнением постановления возложить на заместителя Председателя Правительства Ярославской области, курирующего вопросы строительства и жилищно-коммунального хозяйства.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16" w:tooltip="Постановление Правительства ЯО от 15.07.2025 N 719-п &quot;О внесении изменений в постановление Правительства Ярославской области от 30.07.2019 N 537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15.07.2025 N 719-п)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Постановление вступает в силу с момента подписания.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</w:t>
      </w:r>
    </w:p>
    <w:p>
      <w:pPr>
        <w:pStyle w:val="0"/>
        <w:jc w:val="right"/>
      </w:pPr>
      <w:r>
        <w:rPr>
          <w:sz w:val="20"/>
        </w:rPr>
        <w:t xml:space="preserve">Правительства области</w:t>
      </w:r>
    </w:p>
    <w:p>
      <w:pPr>
        <w:pStyle w:val="0"/>
        <w:jc w:val="right"/>
      </w:pPr>
      <w:r>
        <w:rPr>
          <w:sz w:val="20"/>
        </w:rPr>
        <w:t xml:space="preserve">Д.А.СТЕПАНЕНКО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Ярославской области</w:t>
      </w:r>
    </w:p>
    <w:p>
      <w:pPr>
        <w:pStyle w:val="0"/>
        <w:jc w:val="right"/>
      </w:pPr>
      <w:r>
        <w:rPr>
          <w:sz w:val="20"/>
        </w:rPr>
        <w:t xml:space="preserve">от 30.07.2019 N 537-п</w:t>
      </w:r>
    </w:p>
    <w:p>
      <w:pPr>
        <w:pStyle w:val="0"/>
        <w:jc w:val="both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ПРЕДЕЛЬНАЯ СТОИМОСТЬ</w:t>
      </w:r>
    </w:p>
    <w:p>
      <w:pPr>
        <w:pStyle w:val="2"/>
        <w:jc w:val="center"/>
      </w:pPr>
      <w:r>
        <w:rPr>
          <w:sz w:val="20"/>
        </w:rPr>
        <w:t xml:space="preserve">УСЛУГ И (ИЛИ) РАБОТ ПО КАПИТАЛЬНОМУ РЕМОНТУ</w:t>
      </w:r>
    </w:p>
    <w:p>
      <w:pPr>
        <w:pStyle w:val="2"/>
        <w:jc w:val="center"/>
      </w:pPr>
      <w:r>
        <w:rPr>
          <w:sz w:val="20"/>
        </w:rPr>
        <w:t xml:space="preserve">ОБЩЕГО ИМУЩЕСТВА В МНОГОКВАРТИРНЫХ ДОМАХ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7" w:tooltip="Постановление Правительства ЯО от 30.03.2026 N 322-п &quot;О внесении изменения в постановление Правительства Ярославской области от 30.07.2019 N 537-п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ЯО от 30.03.2026 N 322-п)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37"/>
        <w:gridCol w:w="2665"/>
        <w:gridCol w:w="2268"/>
        <w:gridCol w:w="963"/>
        <w:gridCol w:w="963"/>
        <w:gridCol w:w="963"/>
        <w:gridCol w:w="963"/>
        <w:gridCol w:w="963"/>
        <w:gridCol w:w="963"/>
        <w:gridCol w:w="963"/>
        <w:gridCol w:w="963"/>
        <w:gridCol w:w="963"/>
        <w:gridCol w:w="969"/>
      </w:tblGrid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266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услуги и (или) работы</w:t>
            </w:r>
          </w:p>
        </w:tc>
        <w:tc>
          <w:tcPr>
            <w:tcW w:w="226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</w:t>
            </w:r>
          </w:p>
        </w:tc>
        <w:tc>
          <w:tcPr>
            <w:gridSpan w:val="10"/>
            <w:tcW w:w="963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Предельная стоимость капитального ремонта в зависимости от этажности многоквартирного дома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3, 4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6 - 8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11, 12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13 - 15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более 15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Ремонт крыши: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Плоские крыши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площади покрытия крыши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1.1.1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Покрытие из рулонных материалов без утепления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площади покрытия крыши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5585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5585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5585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5585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5585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5585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5585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5585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5585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5585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1.1.2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Покрытие из рулонных материалов с утеплением пенополистирольными плитами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площади покрытия крыши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10388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10388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10388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10388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10388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10388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10388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10388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10388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10388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1.1.3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Покрытие из рулонных материалов с утеплением минераловатными плитами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площади покрытия крыши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13275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13275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13275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13275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13275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13275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13275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13275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13275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13275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Скатные крыши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площади покрытия крыши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1.2.1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Покрытие из металлочерепицы (профлист)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площади покрытия крыши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13643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13643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13643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13643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13643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13643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13643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13643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13643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13643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1.2.2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Покрытие из оцинкованной стали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площади покрытия крыши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13070 </w:t>
            </w:r>
            <w:hyperlink w:history="0" w:anchor="P976" w:tooltip="&lt;1&gt; В отношении многоквартирных домов, признанных объектами культурного наследия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13070 </w:t>
            </w:r>
            <w:hyperlink w:history="0" w:anchor="P976" w:tooltip="&lt;1&gt; В отношении многоквартирных домов, признанных объектами культурного наследия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13070 </w:t>
            </w:r>
            <w:hyperlink w:history="0" w:anchor="P976" w:tooltip="&lt;1&gt; В отношении многоквартирных домов, признанных объектами культурного наследия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13070 </w:t>
            </w:r>
            <w:hyperlink w:history="0" w:anchor="P976" w:tooltip="&lt;1&gt; В отношении многоквартирных домов, признанных объектами культурного наследия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13070 </w:t>
            </w:r>
            <w:hyperlink w:history="0" w:anchor="P976" w:tooltip="&lt;1&gt; В отношении многоквартирных домов, признанных объектами культурного наследия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13070 </w:t>
            </w:r>
            <w:hyperlink w:history="0" w:anchor="P976" w:tooltip="&lt;1&gt; В отношении многоквартирных домов, признанных объектами культурного наследия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13070 </w:t>
            </w:r>
            <w:hyperlink w:history="0" w:anchor="P976" w:tooltip="&lt;1&gt; В отношении многоквартирных домов, признанных объектами культурного наследия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13070 </w:t>
            </w:r>
            <w:hyperlink w:history="0" w:anchor="P976" w:tooltip="&lt;1&gt; В отношении многоквартирных домов, признанных объектами культурного наследия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13070 </w:t>
            </w:r>
            <w:hyperlink w:history="0" w:anchor="P976" w:tooltip="&lt;1&gt; В отношении многоквартирных домов, признанных объектами культурного наследия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13070 </w:t>
            </w:r>
            <w:hyperlink w:history="0" w:anchor="P976" w:tooltip="&lt;1&gt; В отношении многоквартирных домов, признанных объектами культурного наследия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проектной документации на ремонт крыши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(в процентах) от предельной стоимости услуг и (или) работ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Утепление и ремонт фасада: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2.1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Материал стен - кирпич без утепления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площади фасада без вычета проемов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6869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6869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6869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6869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6869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6869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6869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6869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6869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6869</w:t>
            </w:r>
          </w:p>
        </w:tc>
      </w:tr>
      <w:tr>
        <w:tc>
          <w:tcPr>
            <w:vMerge w:val="continue"/>
          </w:tcPr>
          <w:p/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Материал стен - кирпич без утепления 1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площади фасада без вычета проемов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определяется на основании проектной документации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определяется на основании проектной документации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определяется на основании проектной документации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определяется на основании проектной документации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определяется на основании проектной документации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определяется на основании проектной документации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определяется на основании проектной документации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определяется на основании проектной документации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определяется на основании проектной документации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определяется на основании проектной документации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2.2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Материал стен - кирпич с утеплением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площади фасада без вычета проемов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11285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11285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11285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11285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11285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11285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11285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11285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11285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11285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2.3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Материал стен - панели железобетонные без утепления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площади фасада без вычета проемов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1830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1830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2.4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Материал стен - панели железобетонные с утеплением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площади фасада без вычета проемов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9872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9872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9872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9872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9872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9872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9872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9872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9872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9872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2.5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Материал стен - монолит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площади фасада без вычета проемов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определяется на основании проектной документации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определяется на основании проектной документации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определяется на основании проектной документации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определяется на основании проектной документации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определяется на основании проектной документации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определяется на основании проектной документации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определяется на основании проектной документации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определяется на основании проектной документации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определяется на основании проектной документации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определяется на основании проектной документации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2.6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Материал стен - газосиликатные блоки с утеплением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площади фасада без вычета проемов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8926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8926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8926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8926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8926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8926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8926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8926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8926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8926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2.7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Материал стен - шлакобетонные блоки с утеплением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площади фасада без вычета проемов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10460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10460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10460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10460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10460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10460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10460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10460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10460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10460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2.8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Материал стен - керамзитобетонные блоки с утеплением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площади фасада без вычета проемов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6417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6417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6417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6417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6417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6417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6417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6417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6417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6417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2.9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Другой тип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площади фасада без вычета проемов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4918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4918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4918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4918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4918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4918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4918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4918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4918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4918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проектной документации на утепление и ремонт фасада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(в процентах) от предельной стоимости услуг и (или) работ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Ремонт внутридомовых инженерных систем: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Электроснабжения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</w:t>
            </w:r>
            <w:hyperlink w:history="0" w:anchor="P977" w:tooltip="&lt;2&gt; Рублей на один квадратный метр общей площади помещений в многоквартирном доме.">
              <w:r>
                <w:rPr>
                  <w:sz w:val="20"/>
                  <w:color w:val="0000ff"/>
                </w:rPr>
                <w:t xml:space="preserve">&lt;2&gt;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1836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2773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2005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2232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1738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949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508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473</w:t>
            </w:r>
          </w:p>
        </w:tc>
      </w:tr>
      <w:tr>
        <w:tc>
          <w:tcPr>
            <w:vMerge w:val="continue"/>
          </w:tcPr>
          <w:p/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проектной документации по электроснабжению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(в процентах) от предельной стоимости услуг и (или) работ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Теплоснабжения: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3.2.1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Теплоснабжения без замены в жилых помещениях отопительных приборов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</w:t>
            </w:r>
            <w:hyperlink w:history="0" w:anchor="P977" w:tooltip="&lt;2&gt; Рублей на один квадратный метр общей площади помещений в многоквартирном доме.">
              <w:r>
                <w:rPr>
                  <w:sz w:val="20"/>
                  <w:color w:val="0000ff"/>
                </w:rPr>
                <w:t xml:space="preserve">&lt;2&gt;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3365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2929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2477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1091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1199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1091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1091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1091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1091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3.2.2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Теплоснабжения с заменой в жилых помещениях отопительных приборов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</w:t>
            </w:r>
            <w:hyperlink w:history="0" w:anchor="P977" w:tooltip="&lt;2&gt; Рублей на один квадратный метр общей площади помещений в многоквартирном доме.">
              <w:r>
                <w:rPr>
                  <w:sz w:val="20"/>
                  <w:color w:val="0000ff"/>
                </w:rPr>
                <w:t xml:space="preserve">&lt;2&gt;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3641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5476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4963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3235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2152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2627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2152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2152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2152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2152</w:t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проектной документации по теплоснабжению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(в процентах) от предельной стоимости услуг и (или) работ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3.3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Горячего водоснабжения: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3.3.1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Горячего водоснабжения (за исключением </w:t>
            </w:r>
            <w:hyperlink w:history="0" w:anchor="P460" w:tooltip="3.3.2">
              <w:r>
                <w:rPr>
                  <w:sz w:val="20"/>
                  <w:color w:val="0000ff"/>
                </w:rPr>
                <w:t xml:space="preserve">подпунктов 3.3.2</w:t>
              </w:r>
            </w:hyperlink>
            <w:r>
              <w:rPr>
                <w:sz w:val="20"/>
              </w:rPr>
              <w:t xml:space="preserve">, </w:t>
            </w:r>
            <w:hyperlink w:history="0" w:anchor="P473" w:tooltip="3.3.3">
              <w:r>
                <w:rPr>
                  <w:sz w:val="20"/>
                  <w:color w:val="0000ff"/>
                </w:rPr>
                <w:t xml:space="preserve">3.3.3</w:t>
              </w:r>
            </w:hyperlink>
            <w:r>
              <w:rPr>
                <w:sz w:val="20"/>
              </w:rPr>
              <w:t xml:space="preserve">)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</w:t>
            </w:r>
            <w:hyperlink w:history="0" w:anchor="P977" w:tooltip="&lt;2&gt; Рублей на один квадратный метр общей площади помещений в многоквартирном доме.">
              <w:r>
                <w:rPr>
                  <w:sz w:val="20"/>
                  <w:color w:val="0000ff"/>
                </w:rPr>
                <w:t xml:space="preserve">&lt;2&gt;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1267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1182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1230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1230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1353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1374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305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282</w:t>
            </w:r>
          </w:p>
        </w:tc>
      </w:tr>
      <w:tr>
        <w:tc>
          <w:tcPr>
            <w:tcW w:w="737" w:type="dxa"/>
          </w:tcPr>
          <w:bookmarkStart w:id="460" w:name="P460"/>
          <w:bookmarkEnd w:id="460"/>
          <w:p>
            <w:pPr>
              <w:pStyle w:val="0"/>
              <w:jc w:val="center"/>
            </w:pPr>
            <w:r>
              <w:rPr>
                <w:sz w:val="20"/>
              </w:rPr>
              <w:t xml:space="preserve">3.3.2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Горячего водоснабжения с отдельной врезкой на полотенцесушители с циркуляционным трубопроводом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</w:t>
            </w:r>
            <w:hyperlink w:history="0" w:anchor="P977" w:tooltip="&lt;2&gt; Рублей на один квадратный метр общей площади помещений в многоквартирном доме.">
              <w:r>
                <w:rPr>
                  <w:sz w:val="20"/>
                  <w:color w:val="0000ff"/>
                </w:rPr>
                <w:t xml:space="preserve">&lt;2&gt;</w:t>
              </w:r>
            </w:hyperlink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1647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bookmarkStart w:id="473" w:name="P473"/>
          <w:bookmarkEnd w:id="473"/>
          <w:p>
            <w:pPr>
              <w:pStyle w:val="0"/>
              <w:jc w:val="center"/>
            </w:pPr>
            <w:r>
              <w:rPr>
                <w:sz w:val="20"/>
              </w:rPr>
              <w:t xml:space="preserve">3.3.3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Горячего водоснабжения (с заменой теплообменного оборудования)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</w:t>
            </w:r>
            <w:hyperlink w:history="0" w:anchor="P977" w:tooltip="&lt;2&gt; Рублей на один квадратный метр общей площади помещений в многоквартирном доме.">
              <w:r>
                <w:rPr>
                  <w:sz w:val="20"/>
                  <w:color w:val="0000ff"/>
                </w:rPr>
                <w:t xml:space="preserve">&lt;2&gt;</w:t>
              </w:r>
            </w:hyperlink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1456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проектной документации по горячему водоснабжению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(в процентах) от предельной стоимости услуг и (или) работ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3.4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Холодного водоснабжения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</w:t>
            </w:r>
            <w:hyperlink w:history="0" w:anchor="P977" w:tooltip="&lt;2&gt; Рублей на один квадратный метр общей площади помещений в многоквартирном доме.">
              <w:r>
                <w:rPr>
                  <w:sz w:val="20"/>
                  <w:color w:val="0000ff"/>
                </w:rPr>
                <w:t xml:space="preserve">&lt;2&gt;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1758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1171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931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638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531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305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282</w:t>
            </w:r>
          </w:p>
        </w:tc>
      </w:tr>
      <w:tr>
        <w:tc>
          <w:tcPr>
            <w:vMerge w:val="continue"/>
          </w:tcPr>
          <w:p/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проектной документации по холодному водоснабжению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(в процентах) от предельной стоимости услуг и (или) работ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3.5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Водоотведения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</w:t>
            </w:r>
            <w:hyperlink w:history="0" w:anchor="P977" w:tooltip="&lt;2&gt; Рублей на один квадратный метр общей площади помещений в многоквартирном доме.">
              <w:r>
                <w:rPr>
                  <w:sz w:val="20"/>
                  <w:color w:val="0000ff"/>
                </w:rPr>
                <w:t xml:space="preserve">&lt;2&gt;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1978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843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899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399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372</w:t>
            </w:r>
          </w:p>
        </w:tc>
      </w:tr>
      <w:tr>
        <w:tc>
          <w:tcPr>
            <w:vMerge w:val="continue"/>
          </w:tcPr>
          <w:p/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проектной документации по водоотведению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(в процентах) от предельной стоимости услуг и (или) работ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3.6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Газоснабжения: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3.6.1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Газоснабжения (природный газ)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</w:t>
            </w:r>
            <w:hyperlink w:history="0" w:anchor="P977" w:tooltip="&lt;2&gt; Рублей на один квадратный метр общей площади помещений в многоквартирном доме.">
              <w:r>
                <w:rPr>
                  <w:sz w:val="20"/>
                  <w:color w:val="0000ff"/>
                </w:rPr>
                <w:t xml:space="preserve">&lt;2&gt;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1551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1445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1533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1533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1533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1533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1533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1533</w:t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3.6.2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Газоснабжения (сжиженный углеводородный газ)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</w:t>
            </w:r>
            <w:hyperlink w:history="0" w:anchor="P977" w:tooltip="&lt;2&gt; Рублей на один квадратный метр общей площади помещений в многоквартирном доме.">
              <w:r>
                <w:rPr>
                  <w:sz w:val="20"/>
                  <w:color w:val="0000ff"/>
                </w:rPr>
                <w:t xml:space="preserve">&lt;2&gt;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1484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проектной документации по газоснабжению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(в процентах) от предельной стоимости услуг и (или) работ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3.7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Выгребных ям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</w:t>
            </w:r>
            <w:hyperlink w:history="0" w:anchor="P977" w:tooltip="&lt;2&gt; Рублей на один квадратный метр общей площади помещений в многоквартирном доме.">
              <w:r>
                <w:rPr>
                  <w:sz w:val="20"/>
                  <w:color w:val="0000ff"/>
                </w:rPr>
                <w:t xml:space="preserve">&lt;2&gt;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6290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6290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1178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проектной документации на ремонт выгребных ям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(в процентах) от предельной стоимости услуг и (или) работ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Ремонт подвальных помещений, относящихся к общему имуществу в многоквартирном доме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площади подвала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4337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4337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4337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4337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4337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4337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4337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4337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4337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4337</w:t>
            </w:r>
          </w:p>
        </w:tc>
      </w:tr>
      <w:tr>
        <w:tc>
          <w:tcPr>
            <w:vMerge w:val="continue"/>
          </w:tcPr>
          <w:p/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проектной документации на ремонт подвальных помещений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(в процентах) от предельной стоимости услуг и (или) работ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</w:tr>
      <w:tr>
        <w:tc>
          <w:tcPr>
            <w:tcW w:w="737" w:type="dxa"/>
            <w:tcBorders>
              <w:bottom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Ремонт, замена, модернизация лифтов, ремонт лифтовых шахт, машинных и блочных помещений </w:t>
            </w:r>
            <w:hyperlink w:history="0" w:anchor="P978" w:tooltip="&lt;3&gt; Предельная стоимость ремонта (замены) лифтового оборудования сформирована на один лифт в зависимости от количества остановок и грузоподъемности лифта.">
              <w:r>
                <w:rPr>
                  <w:sz w:val="20"/>
                  <w:color w:val="0000ff"/>
                </w:rPr>
                <w:t xml:space="preserve">&lt;3&gt;</w:t>
              </w:r>
            </w:hyperlink>
            <w:r>
              <w:rPr>
                <w:sz w:val="20"/>
              </w:rPr>
              <w:t xml:space="preserve">: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 за лифт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- до 5 остановок, грузоподъемностью 400 кг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 за лифт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2603166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2603166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2603166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- до 7 остановок, грузоподъемностью 400 кг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 за лифт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4065982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- до 9 остановок, грузоподъемностью 400 кг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 за лифт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4352791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- до 10 остановок, грузоподъемностью 400 кг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 за лифт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4554187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- до 12 остановок, грузоподъемностью 400 кг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 за лифт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4814158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- до 12 остановок, грузоподъемностью 630 кг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 за лифт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5796760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bottom w:val="nil"/>
            </w:tcBorders>
            <w:vMerge w:val="continue"/>
          </w:tcPr>
          <w:p/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- до 14 остановок, грузоподъемностью 400 кг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 за лифт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5089980</w:t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  <w:tcBorders>
              <w:top w:val="nil"/>
            </w:tcBorders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- до 14 остановок, грузоподъемностью 630 кг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 за лифт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6076707</w:t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- до 16 остановок, грузоподъемностью 400 кг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 за лифт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4219564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- до 16 остановок, грузоподъемностью 630 кг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 за лифт</w:t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4439532</w:t>
            </w:r>
          </w:p>
        </w:tc>
      </w:tr>
      <w:tr>
        <w:tc>
          <w:tcPr>
            <w:tcBorders>
              <w:top w:val="nil"/>
            </w:tcBorders>
            <w:vMerge w:val="continue"/>
          </w:tcPr>
          <w:p/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проектной документации на ремонт, замену, модернизацию лифтов, ремонт лифтовых шахт, машинных и блочных помещений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(в процентах) от предельной стоимости услуг и (или) работ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Ремонт фундамента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руб./кв. м </w:t>
            </w:r>
            <w:hyperlink w:history="0" w:anchor="P977" w:tooltip="&lt;2&gt; Рублей на один квадратный метр общей площади помещений в многоквартирном доме.">
              <w:r>
                <w:rPr>
                  <w:sz w:val="20"/>
                  <w:color w:val="0000ff"/>
                </w:rPr>
                <w:t xml:space="preserve">&lt;2&gt;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2961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7442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4410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2093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2093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2093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2093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2093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2093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2093</w:t>
            </w:r>
          </w:p>
        </w:tc>
      </w:tr>
      <w:tr>
        <w:tc>
          <w:tcPr>
            <w:vMerge w:val="continue"/>
          </w:tcPr>
          <w:p/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Инженерно-геологические изыскания (до 6 шурфов)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руб./отчет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215206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215206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215206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215206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215206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215206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215206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215206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215206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215206</w:t>
            </w:r>
          </w:p>
        </w:tc>
      </w:tr>
      <w:tr>
        <w:tc>
          <w:tcPr>
            <w:vMerge w:val="continue"/>
          </w:tcPr>
          <w:p/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проектной документации на ремонт фундамента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(в процентах) от предельной стоимости услуг и (или) работ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проектной документации при капитальном ремонте общего имущества многоквартирных домов, признанных объектами культурного наследия, включая авторский надзор, научное руководство </w:t>
            </w:r>
            <w:hyperlink w:history="0" w:anchor="P979" w:tooltip="&lt;4&gt; При заключении договоров на проектно-изыскательские работы с 2017 года.">
              <w:r>
                <w:rPr>
                  <w:sz w:val="20"/>
                  <w:color w:val="0000ff"/>
                </w:rPr>
                <w:t xml:space="preserve">&lt;4&gt;</w:t>
              </w:r>
            </w:hyperlink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(в процентах) от предельной стоимости услуг и (или) работ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 </w:t>
            </w:r>
            <w:hyperlink w:history="0" w:anchor="P976" w:tooltip="&lt;1&gt; В отношении многоквартирных домов, признанных объектами культурного наследия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 </w:t>
            </w:r>
            <w:hyperlink w:history="0" w:anchor="P976" w:tooltip="&lt;1&gt; В отношении многоквартирных домов, признанных объектами культурного наследия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 </w:t>
            </w:r>
            <w:hyperlink w:history="0" w:anchor="P976" w:tooltip="&lt;1&gt; В отношении многоквартирных домов, признанных объектами культурного наследия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 </w:t>
            </w:r>
            <w:hyperlink w:history="0" w:anchor="P976" w:tooltip="&lt;1&gt; В отношении многоквартирных домов, признанных объектами культурного наследия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 </w:t>
            </w:r>
            <w:hyperlink w:history="0" w:anchor="P976" w:tooltip="&lt;1&gt; В отношении многоквартирных домов, признанных объектами культурного наследия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 </w:t>
            </w:r>
            <w:hyperlink w:history="0" w:anchor="P976" w:tooltip="&lt;1&gt; В отношении многоквартирных домов, признанных объектами культурного наследия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 </w:t>
            </w:r>
            <w:hyperlink w:history="0" w:anchor="P976" w:tooltip="&lt;1&gt; В отношении многоквартирных домов, признанных объектами культурного наследия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 </w:t>
            </w:r>
            <w:hyperlink w:history="0" w:anchor="P976" w:tooltip="&lt;1&gt; В отношении многоквартирных домов, признанных объектами культурного наследия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 </w:t>
            </w:r>
            <w:hyperlink w:history="0" w:anchor="P976" w:tooltip="&lt;1&gt; В отношении многоквартирных домов, признанных объектами культурного наследия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 </w:t>
            </w:r>
            <w:hyperlink w:history="0" w:anchor="P976" w:tooltip="&lt;1&gt; В отношении многоквартирных домов, признанных объектами культурного наследия.">
              <w:r>
                <w:rPr>
                  <w:sz w:val="20"/>
                  <w:color w:val="0000ff"/>
                </w:rPr>
                <w:t xml:space="preserve">&lt;1&gt;</w:t>
              </w:r>
            </w:hyperlink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строительного контроля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(в процентах) от предельной стоимости услуг и (или) работ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2,14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2,14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2,14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2,14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2,14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2,14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2,14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2,14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2,14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2,14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Авторский надзор и научное руководство в отношении многоквартирных домов, признанных объектами культурного наследия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руб./объект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170888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170888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170888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170888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170888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170888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170888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170888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170888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170888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Установка (замена) коллективных (общедомовых) приборов и узлов учета потребления ресурсов, необходимых для предоставления коммунальных услуг, и узлов управления и регулирования потребления следующих ресурсов в случае капитального ремонта соответствующих внутридомовых инженерных систем: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3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10.1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Тепловой энергии: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6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для двухтрубных систем теплоснабжения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руб./шт.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680105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680105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680105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680105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680105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680105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680105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680105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680105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680105</w:t>
            </w:r>
          </w:p>
        </w:tc>
      </w:tr>
      <w:tr>
        <w:tc>
          <w:tcPr>
            <w:vMerge w:val="continue"/>
          </w:tcPr>
          <w:p/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для трехтрубных систем теплоснабжения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руб./шт.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651426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651426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651426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651426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651426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651426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651426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651426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651426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651426</w:t>
            </w:r>
          </w:p>
        </w:tc>
      </w:tr>
      <w:tr>
        <w:tc>
          <w:tcPr>
            <w:vMerge w:val="continue"/>
          </w:tcPr>
          <w:p/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для четырехтрубных систем теплоснабжения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руб./шт.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1224979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1224979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1224979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1224979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1224979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1224979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1224979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1224979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1224979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1224979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10.2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Холодной воды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руб./шт.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75540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75540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75540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75540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75540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75540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75540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75540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75540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75540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Разработка проектной документации по установке (замене) коллективных (общедомовых) приборов и узлов учета потребления тепловой энергии, холодной воды, необходимых для предоставления коммунальных услуг, и узлов управления и регулирования потребления тепловой энергии, холодной воды, в случае капитального ремонта соответствующих внутридомовых инженерных систем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(в процентах) от предельной стоимости услуг и (или) работ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</w:tr>
      <w:tr>
        <w:tc>
          <w:tcPr>
            <w:tcW w:w="73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0"/>
              </w:rPr>
              <w:t xml:space="preserve">Оценка технического состояния многоквартирного дома в составе работ по разработке проектной документации на капитальный ремонт общего имущества в многоквартирном доме</w:t>
            </w:r>
          </w:p>
        </w:tc>
        <w:tc>
          <w:tcPr>
            <w:tcW w:w="22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доля (в процентах) от предельной стоимости разработки проектной документации на капитальный ремонт общего имущества в многоквартирном доме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 более 35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 более 35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 более 35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 более 35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 более 35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 более 35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 более 35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 более 35</w:t>
            </w:r>
          </w:p>
        </w:tc>
        <w:tc>
          <w:tcPr>
            <w:tcW w:w="96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 более 35</w:t>
            </w:r>
          </w:p>
        </w:tc>
        <w:tc>
          <w:tcPr>
            <w:tcW w:w="96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не более 35</w:t>
            </w:r>
          </w:p>
        </w:tc>
      </w:tr>
    </w:tbl>
    <w:p>
      <w:pPr>
        <w:sectPr>
          <w:headerReference w:type="default" r:id="rId18"/>
          <w:headerReference w:type="first" r:id="rId18"/>
          <w:footerReference w:type="default" r:id="rId19"/>
          <w:footerReference w:type="first" r:id="rId19"/>
          <w:pgSz w:w="16838" w:h="11906" w:orient="landscape"/>
          <w:pgMar w:top="1133" w:right="397" w:bottom="566" w:left="397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976" w:name="P976"/>
    <w:bookmarkEnd w:id="97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&lt;1&gt; В отношении многоквартирных домов, признанных объектами культурного наследия.</w:t>
      </w:r>
    </w:p>
    <w:bookmarkStart w:id="977" w:name="P977"/>
    <w:bookmarkEnd w:id="97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Рублей на один квадратный метр общей площади помещений в многоквартирном доме.</w:t>
      </w:r>
    </w:p>
    <w:bookmarkStart w:id="978" w:name="P978"/>
    <w:bookmarkEnd w:id="97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&lt;3&gt; Предельная стоимость ремонта (замены) лифтового оборудования сформирована на один лифт в зависимости от количества остановок и грузоподъемности лифта.</w:t>
      </w:r>
    </w:p>
    <w:bookmarkStart w:id="979" w:name="P979"/>
    <w:bookmarkEnd w:id="97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&lt;4&gt; При заключении договоров на проектно-изыскательские работы с 2017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Стоимость разработки проектной документации на работы по капитальному ремонту многоквартирных домов в случае определения предельной стоимости капитального ремонта на основании проектной документации определяется в соответствии с государственным сметным нормативом "Справочник базовых цен на проектные работы в строительстве "Нормативы подготовки технической документации для капитального ремонта зданий и сооружений жилищно-гражданского назначения", утвержденным приказом Министерства регионального развития Российской Федерации от 12.03.2012 N 96 "Об утверждении Справочника базовых цен на проектные работы в строительстве "Нормативы подготовки технической документации для капитального ремонта зданий и сооружений жилищно-гражданского назначения", государственным сметным нормативом "Справочник базовых цен на обмерные работы и обследование и обследование зданий и сооружений", внесенным в федеральный реестр сметных нормативов приказом Министерства строительства и жилищно-коммунального хозяйства Российской Федерации от 25.04.2016 N 270/пр "О внесении изменений в сметные нормативы, включенные в федеральный реестр сметных нормативов, подлежащих применению при определении сметной стоимости объектов капитального строительства, строительство которых финансируется с привлечением средств федерального бюджета".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Стоимость проведения экспертизы проектной документации (в случае если ее проведение предусмотрено действующим законодательством) определяется в соответствии с </w:t>
      </w:r>
      <w:hyperlink w:history="0" r:id="rId20" w:tooltip="Постановление Правительства РФ от 05.03.2007 N 145 (ред. от 28.04.2026) &quot;О порядке организации и проведения государственной экспертизы проектной документации и результатов инженерных изыскани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5 марта 2007 г. N 145 "О порядке организации и проведения государственной экспертизы проектной документации и результатов инженерных изысканий".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ЯО от 30.07.2019 N 537-п</w:t>
            <w:br/>
            <w:t>(ред. от 30.03.2026)</w:t>
            <w:br/>
            <w:t>"Об утверждении предельной стоимости капитальн...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ЯО от 30.07.2019 N 537-п</w:t>
            <w:br/>
            <w:t>(ред. от 30.03.2026)</w:t>
            <w:br/>
            <w:t>"Об утверждении предельной стоимости капитальн...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17.08.2026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86&amp;n=114701&amp;dst=100005" TargetMode = "External"/><Relationship Id="rId9" Type="http://schemas.openxmlformats.org/officeDocument/2006/relationships/hyperlink" Target="https://login.consultant.ru/link/?req=doc&amp;base=RLAW086&amp;n=117344&amp;dst=100005" TargetMode = "External"/><Relationship Id="rId10" Type="http://schemas.openxmlformats.org/officeDocument/2006/relationships/hyperlink" Target="https://login.consultant.ru/link/?req=doc&amp;base=RLAW086&amp;n=122371&amp;dst=100005" TargetMode = "External"/><Relationship Id="rId11" Type="http://schemas.openxmlformats.org/officeDocument/2006/relationships/hyperlink" Target="https://login.consultant.ru/link/?req=doc&amp;base=RLAW086&amp;n=127014&amp;dst=100005" TargetMode = "External"/><Relationship Id="rId12" Type="http://schemas.openxmlformats.org/officeDocument/2006/relationships/hyperlink" Target="https://login.consultant.ru/link/?req=doc&amp;base=RLAW086&amp;n=130856&amp;dst=100005" TargetMode = "External"/><Relationship Id="rId13" Type="http://schemas.openxmlformats.org/officeDocument/2006/relationships/hyperlink" Target="https://login.consultant.ru/link/?req=doc&amp;base=RLAW086&amp;n=158450&amp;dst=100005" TargetMode = "External"/><Relationship Id="rId14" Type="http://schemas.openxmlformats.org/officeDocument/2006/relationships/hyperlink" Target="https://login.consultant.ru/link/?req=doc&amp;base=RLAW086&amp;n=164455&amp;dst=100005" TargetMode = "External"/><Relationship Id="rId15" Type="http://schemas.openxmlformats.org/officeDocument/2006/relationships/hyperlink" Target="https://login.consultant.ru/link/?req=doc&amp;base=RLAW086&amp;n=163844&amp;dst=100625" TargetMode = "External"/><Relationship Id="rId16" Type="http://schemas.openxmlformats.org/officeDocument/2006/relationships/hyperlink" Target="https://login.consultant.ru/link/?req=doc&amp;base=RLAW086&amp;n=158450&amp;dst=100006" TargetMode = "External"/><Relationship Id="rId17" Type="http://schemas.openxmlformats.org/officeDocument/2006/relationships/hyperlink" Target="https://login.consultant.ru/link/?req=doc&amp;base=RLAW086&amp;n=164455&amp;dst=100005" TargetMode = "External"/><Relationship Id="rId18" Type="http://schemas.openxmlformats.org/officeDocument/2006/relationships/header" Target="header2.xml"/><Relationship Id="rId19" Type="http://schemas.openxmlformats.org/officeDocument/2006/relationships/footer" Target="footer2.xml"/><Relationship Id="rId20" Type="http://schemas.openxmlformats.org/officeDocument/2006/relationships/hyperlink" Target="https://login.consultant.ru/link/?req=doc&amp;base=RZR&amp;n=533223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ЯО от 30.07.2019 N 537-п
(ред. от 30.03.2026)
"Об утверждении предельной стоимости капитального ремонта общего имущества в многоквартирных домах"</dc:title>
  <dcterms:created xsi:type="dcterms:W3CDTF">2026-08-17T04:48:00Z</dcterms:created>
</cp:coreProperties>
</file>